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текущей ситуации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2021-01-07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</w:p>
    <w:p>
      <w:r>
        <w:rPr>
          <w:i/>
        </w:rPr>
        <w:t xml:space="preserve">Где нет общности интересов, там не может быть  </w:t>
      </w:r>
      <w:r>
        <w:rPr>
          <w:i/>
        </w:rPr>
        <w:t xml:space="preserve">единства целей, не говоря уже о единстве действий. </w:t>
      </w:r>
    </w:p>
    <w:p>
      <w:r>
        <w:t>Ф. Энгельс</w:t>
      </w:r>
    </w:p>
    <w:p>
      <w:r>
        <w:t>С первых дней нахождения у власти Пашинян и его команда стремились защищать интересы крупного капитала, но при этом сохранять народную, низовую поддержку, которой они обязаны были своему восхождению к власти.</w:t>
      </w:r>
    </w:p>
    <w:p>
      <w:r/>
      <w:r>
        <w:t>Но для лавирования между классами и социальными группами нужна бонапартистская диктатура, а не игры в представительную демократию. В результате провала собственной политики Пашинян потерял свою социальную базу, образовав глубокую пропасть между властью и народными массами.</w:t>
      </w:r>
    </w:p>
    <w:p>
      <w:r>
        <w:t xml:space="preserve">Представители нынешнего режима полностью оторваны от реальности и не видят настроения общественности. В условиях текущих проблем такое индифферентное отношение к собственному народу чревато множеством проблем, в том числе радикализацией общественности. Сегодня армянский народ мирно требует отставки, по его мнению, предательского режима во главе с Николом Пашиняном, но, наталкиваясь на безразличие властей и оппозиции, народ или отдельные личности могут использовать иные методы воздействия. </w:t>
      </w:r>
    </w:p>
    <w:p>
      <w:r>
        <w:t>Как известно, в своих публикациях Никол Пашинян часто опирается на прошлое. В контексте исторической памяти хочется напомнить Пашиняну о судьбе премьер-министра Израиля Ицхака Рабина, который в 1995 году был убит израильским экстремистом Игалем Амиром. К слову сказать, экстремист мотивировал свои действия тем, что «защищал народ Израиля от предательского соглашения в Осло», заключенного с Палестиной.</w:t>
      </w:r>
    </w:p>
    <w:p>
      <w:r>
        <w:t>Армянские сторонники капитализма  денно и нощно обвиняют коммунистов в «дарении» армянских земель туркам и азербайджанцам. Но в настоящий момент их бывший божок, на которого они молились еще вчера, каждый день преподносит «сюрпризы». Каждый день мы узнаем о передаче приграничных армянских сел Азербайджану.</w:t>
      </w:r>
    </w:p>
    <w:p>
      <w:r>
        <w:t xml:space="preserve">Пашинян уже признался, что у него имеются устные договоренности с Алиевым о «демаркации». Делимитация и демаркация границ не определяются в течение нескольких дней. Это сложный процесс, ему предшествуют создание смешанных комиссий и длительных переговоров. Иногда такие функции осуществляются специальными международными органами, образуемые на основе мирных договоров. Однако либералы, националисты, консерваторы не пытаются остановить пашиняновские произвол и вакханалию, а взывают к духу усопшего </w:t>
      </w:r>
      <w:hyperlink r:id="rId11">
        <w:r>
          <w:rPr>
            <w:color w:val="0000FF"/>
            <w:u w:val="single"/>
          </w:rPr>
          <w:t>Гарегина Нжде</w:t>
        </w:r>
      </w:hyperlink>
      <w:r>
        <w:t>, якобы спасшего Сюник.</w:t>
      </w:r>
    </w:p>
    <w:p>
      <w:r>
        <w:t>100 лет назад другие кумиры сторонников капитализма всех мастей — дашнаки — подписали похожую позорную капитуляцию, оформившуюся в Александропольский договор. Согласно этому договору территория Армении, по разным оценкам, составила от 12 до 14 тыс. кв. км. На Московской конференции большевики смогли выбить у кемалистов хоть какие-то уступки. Поэтому сегодня территория Армении составляет не 12-14, а 30 тыс. кв. км. Означает ли это, что Московский договор был в интересах Армении? Разумеется, нет! Но это та цена, которую пришлось заплатить за авантюры дашнаков. Так же как сегодня мы платим высокую цену за преступную некомпетентность группы Пашиняна.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o-tekushhej-situacii" TargetMode="External"/><Relationship Id="rId11" Type="http://schemas.openxmlformats.org/officeDocument/2006/relationships/hyperlink" Target="https://am.stage.politsturm.com/garegin-nzhde-mif-i-realnost-chast-1/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