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Геноцид: сто лет спустя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2019-04-23</w:t>
      </w:r>
    </w:p>
    <w:p>
      <w:pPr/>
      <w:r>
        <w:t>7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hyperlink r:id="rId11">
        <w:r>
          <w:rPr>
            <w:color w:val="0000FF"/>
            <w:u w:val="single"/>
          </w:rPr>
          <w:t>Facebook</w:t>
        </w:r>
      </w:hyperlink>
      <w:r>
        <w:rPr>
          <w:b/>
        </w:rPr>
        <w:t xml:space="preserve"> </w:t>
      </w:r>
      <w:r>
        <w:br/>
      </w:r>
      <w:hyperlink r:id="rId12">
        <w:r>
          <w:rPr>
            <w:color w:val="0000FF"/>
            <w:u w:val="single"/>
          </w:rPr>
          <w:t>ВКонтакте</w:t>
        </w:r>
      </w:hyperlink>
      <w:r>
        <w:br/>
      </w:r>
      <w:r/>
    </w:p>
    <w:p>
      <w:pPr>
        <w:pStyle w:val="IntenseQuote"/>
      </w:pPr>
    </w:p>
    <w:p>
      <w:r>
        <w:rPr>
          <w:i/>
        </w:rPr>
        <w:t>И через 100 лет тема Геноцида армян остается разменной монетой в руках буржуазных элит.</w:t>
      </w:r>
    </w:p>
    <w:p>
      <w:r>
        <w:rPr>
          <w:b/>
        </w:rPr>
        <w:t>24 апреля 2015</w:t>
      </w:r>
      <w:r>
        <w:t xml:space="preserve"> года исполняется столетняя годовщина </w:t>
      </w:r>
      <w:r>
        <w:rPr>
          <w:b/>
        </w:rPr>
        <w:t>Геноцида армян в Османской империи.</w:t>
      </w:r>
      <w:r>
        <w:t xml:space="preserve"> Жертвами совершенной турецкой властью этнической чистки стали тогда около </w:t>
      </w:r>
      <w:r>
        <w:rPr>
          <w:b/>
        </w:rPr>
        <w:t>1,5 миллиона армян.</w:t>
      </w:r>
      <w:r>
        <w:t xml:space="preserve"> Наряду с этническими и религиозными факторами, трагедия начала ХХ века имеет тесную взаимосвязь с </w:t>
      </w:r>
      <w:r>
        <w:rPr>
          <w:b/>
        </w:rPr>
        <w:t>социальными и экономическими процессами</w:t>
      </w:r>
      <w:r>
        <w:t xml:space="preserve"> в рамках периферии капиталистической системы, в которую к тому времени была интегрирована Турция.</w:t>
      </w:r>
    </w:p>
    <w:p>
      <w:r>
        <w:t xml:space="preserve">В конце XIX – начале ХХ в. интенсивность погромов и массовых репрессий против армянской общины и других этнических меньшинств Турции неуклонно нарастала, достигнув своего пика в годы Первой мировой войны – когда старые османские элиты страны проходили процесс трансформации в класс </w:t>
      </w:r>
      <w:r>
        <w:rPr>
          <w:b/>
        </w:rPr>
        <w:t>национальной буржуазии</w:t>
      </w:r>
      <w:r>
        <w:t xml:space="preserve">. В условиях кризиса прежней архаической экономической системы Турции резко возросла экономическая и политическая зависимость страны от империалистических держав, и Турция оказалась в центре жесткой конкуренции в рамках развернувшейся в конце борьбы вокруг железнодорожных проектов </w:t>
      </w:r>
      <w:r>
        <w:rPr>
          <w:b/>
        </w:rPr>
        <w:t>германской и британской колониальных империй.</w:t>
      </w:r>
    </w:p>
    <w:p>
      <w:r>
        <w:t xml:space="preserve">При наличии различных и часто противостоящих друг другу стратегий все ключевые европейские великие державы рассматривали Османскую империю как послушный объект своей борьбы. В частности, к началу Первой мировой войны </w:t>
      </w:r>
      <w:r>
        <w:rPr>
          <w:b/>
        </w:rPr>
        <w:t>Россия, Англия и Франция</w:t>
      </w:r>
      <w:r>
        <w:t xml:space="preserve"> открыто планировали расчленение Османской империи и ее раздел. В то же время </w:t>
      </w:r>
      <w:r>
        <w:rPr>
          <w:b/>
        </w:rPr>
        <w:t>Германия</w:t>
      </w:r>
      <w:r>
        <w:t xml:space="preserve"> стремилась превратить Турцию в ключевой компонент своей зависимой периферии и основное поле реализации коммерческих проектов германского капитала на Ближнем Востоке. Это обстоятельство сделало Берлин важнейшим союзником Турции, заинтересованным в целостности Османской империи, и в дальнейшем предопределило фактическое соучастие Германии в этнических чистках.</w:t>
      </w:r>
    </w:p>
    <w:p>
      <w:r>
        <w:rPr>
          <w:b/>
          <w:color w:val="FF0000"/>
        </w:rPr>
        <w:t>Ошибка при загрузке изображения</w:t>
      </w:r>
    </w:p>
    <w:p>
      <w:r>
        <w:rPr>
          <w:i/>
        </w:rPr>
        <w:t>Карикатура времен Первой мировой войны.</w:t>
      </w:r>
    </w:p>
    <w:p>
      <w:r>
        <w:t xml:space="preserve">В этих условиях </w:t>
      </w:r>
      <w:r>
        <w:rPr>
          <w:b/>
        </w:rPr>
        <w:t>«Армянский вопрос»</w:t>
      </w:r>
      <w:r>
        <w:t>, как официально именовалось в те годы обсуждение статуса и судьбы армянского населения Западной и Восточной Анатолии, стал фактором давления на Турцию и инструментом в руках империалистических держав, реализовывавших свои конкурирующие стратегии в отношении ослабленной внутренним кризисом страны.</w:t>
      </w:r>
    </w:p>
    <w:p>
      <w:r>
        <w:t>Реакцией на этот кризис стало возникновение движений национальной буржуазии – как правило, в силу периферийной специфики, представленной выходцами из военно-бюрократического аппарата. В Османской империи подобным движением, ставящим перед собой задачу буржуазной модернизации страны, были пришедшие к власти в 1908 году</w:t>
      </w:r>
      <w:r>
        <w:rPr>
          <w:b/>
        </w:rPr>
        <w:t xml:space="preserve"> младотурки</w:t>
      </w:r>
      <w:r>
        <w:t xml:space="preserve"> из партии </w:t>
      </w:r>
      <w:r>
        <w:rPr>
          <w:b/>
        </w:rPr>
        <w:t>«Единение и прогресс».</w:t>
      </w:r>
      <w:r>
        <w:t xml:space="preserve"> Ориентируясь на «передовой европейский опыт», «младотурки» продолжили погромную политику султанского правительства, подняв ее на качественно новый уровень. Одним из важнейших пунктов их программы буржуазной модернизации Турции и стало организованное уничтожение армянского населения Западной Армении. При этом, «младотурки» на практике усилили зависимость Турции от глобальной капиталистической системы и вовлекли страну в самоубийственный конфликт в рамках Первой мировой войны.</w:t>
      </w:r>
    </w:p>
    <w:p>
      <w:r>
        <w:rPr>
          <w:b/>
          <w:color w:val="FF0000"/>
        </w:rPr>
        <w:t>Ошибка при загрузке изображения</w:t>
      </w:r>
    </w:p>
    <w:p>
      <w:r>
        <w:rPr>
          <w:i/>
        </w:rPr>
        <w:t>Энвер-паша и немецкий генерал Арнольд фон Винклер.</w:t>
      </w:r>
    </w:p>
    <w:p>
      <w:r>
        <w:t xml:space="preserve">Придерживаясь агрессивной националистической идеологии </w:t>
      </w:r>
      <w:r>
        <w:rPr>
          <w:b/>
        </w:rPr>
        <w:t>пантюркизма</w:t>
      </w:r>
      <w:r>
        <w:t xml:space="preserve">, младотурки пытались сформировать в Турции монолитную буржуазную турецкую нацию, насильственно унифицировав  религиозную и этническую мозаику Османской империи. Геноцид армян 1915 года стал, в том числе проявлением именно этой стратегии, наряду со стремлением устранить потенциальный пророссийский элемент внутри страны в условиях планировавшейся российской экспансии в направлении Кавказа. Еще одним фактором было стремление </w:t>
      </w:r>
      <w:r>
        <w:rPr>
          <w:b/>
        </w:rPr>
        <w:t>обеспечить передел собственности и капиталов</w:t>
      </w:r>
      <w:r>
        <w:t xml:space="preserve"> путем захвата экономических активов армянского населения, часть которого составляла значительную долю городского среднего класса и предпринимательской прослойки.</w:t>
      </w:r>
    </w:p>
    <w:p>
      <w:r>
        <w:t xml:space="preserve">Сегодня, 100 лет спустя, дискуссии вокруг «Армянского вопроса» во многом воспроизводят обстановку начала ХХ века. Вопрос признания Геноцида, который продолжает отрицать Турция, остается </w:t>
      </w:r>
      <w:r>
        <w:rPr>
          <w:b/>
        </w:rPr>
        <w:t>фактором империалистической политики</w:t>
      </w:r>
      <w:r>
        <w:t>. Анкара в настоящее время находится в центре внешнеполитических противоречий – в частности, острой конкуренции между США, ЕС и Россией вокруг проектов газо и нефтепроводов, играющих примерно ту же стратегическую роль, что и железнодорожное строительство в этом регионе накануне Первой мировой войны. Это неизбежно делает вопрос признания Геноцида армян 1915 года одним из  факторов этой конкурентной борьбы.</w:t>
      </w:r>
    </w:p>
    <w:p>
      <w:r>
        <w:rPr>
          <w:b/>
          <w:color w:val="FF0000"/>
        </w:rPr>
        <w:t>Ошибка при загрузке изображения</w:t>
      </w:r>
    </w:p>
    <w:p>
      <w:r>
        <w:rPr>
          <w:i/>
        </w:rPr>
        <w:t xml:space="preserve">Акция приуроченная дню памяти жертв Геноцида армян 1915 года, Москва. </w:t>
      </w:r>
    </w:p>
    <w:p>
      <w:r>
        <w:t xml:space="preserve">В то же время, нежелание США и большинства стран Запада признать Геноцид армян также связано с геополитической ролью Турции, которая является членом НАТО и ключевым партнером Вашингтона на Ближнем Востоке. Важную роль в поддержке политики отрицания Геноцида определяют </w:t>
      </w:r>
      <w:r>
        <w:rPr>
          <w:b/>
        </w:rPr>
        <w:t>интересы крупнейших западных корпораций</w:t>
      </w:r>
      <w:r>
        <w:t>, в том числе представляющих военно-промышленный комплекс. В свою очередь сама Турция, сформировавшись в качестве регионального «субимпериалистического очага», активно стремится создать собственную сферу влияния – и в рамках этого курса Южный Кавказ и современная территория Армении, как и сто лет назад, выступают в качестве одного из объектов турецкой экспансии. Это также делает вопрос отрицания Геноцида фактором внешней политики Турции – и, по сути, исключает признание Геноцида армян Анкарой в современных условиях.</w:t>
      </w:r>
    </w:p>
    <w:p>
      <w:r>
        <w:t xml:space="preserve">Потенциальное признание Геноцида армян </w:t>
      </w:r>
      <w:r>
        <w:rPr>
          <w:b/>
        </w:rPr>
        <w:t>неприемлемо для турецких элит</w:t>
      </w:r>
      <w:r>
        <w:t xml:space="preserve"> уже в силу того, что это неизбежно повлияет на ее отношения с национальными и религиозными меньшинствами страны. Подобный вариант развития событий укрепит позиции курдского населения страны в борьбе за свои права, что неизбежно скажется на стабильности всей существующей в Турции социально-политической системы – поскольку для турецкого капитализма курдское население юго-востока страны выступает в качестве внутренней эксплуатируемой периферии. Кроме того, турецкая элита использует вопрос Геноцида армян для </w:t>
      </w:r>
      <w:r>
        <w:rPr>
          <w:b/>
        </w:rPr>
        <w:t>консолидации общества в своих интересах</w:t>
      </w:r>
      <w:r>
        <w:t>, утверждая, что процесс международного признания Геноцида является исключительно происками внешних врагов Турции.</w:t>
      </w:r>
    </w:p>
    <w:p>
      <w:r>
        <w:t>Но вопрос признания Геноцида армян также является важным элементом внутренней политики для политических элит Армении, а также ряда стран Запада (прежде всего, США и Франции), в которых имеются крупные армянские общины. В нулевые годы «Армянский вопрос» стал одним из факторов поддержания стабильности позиций правящей армянской элиты.</w:t>
      </w:r>
    </w:p>
    <w:p>
      <w:r>
        <w:rPr>
          <w:b/>
          <w:color w:val="FF0000"/>
        </w:rPr>
        <w:t>Ошибка при загрузке изображения</w:t>
      </w:r>
    </w:p>
    <w:p>
      <w:r>
        <w:rPr>
          <w:i/>
        </w:rPr>
        <w:t>Президент Серж Саргсян, мемориальный комплекс «Цицернакаберд», Ереван, 24 апреля 2015 г.</w:t>
      </w:r>
    </w:p>
    <w:p>
      <w:r>
        <w:t xml:space="preserve">Первое, ультралиберальное поколение армянского правящего класса, которое пришло к власти в начале 1990-х годах было </w:t>
      </w:r>
      <w:r>
        <w:rPr>
          <w:b/>
        </w:rPr>
        <w:t>занято приватизацией экономических активов страны и укреплением собственного господства.</w:t>
      </w:r>
      <w:r>
        <w:t xml:space="preserve"> В то же время правящая группа, которая пришла к власти в 1998 году, взяла на вооружение консервативную и национальную риторику, </w:t>
      </w:r>
      <w:r>
        <w:rPr>
          <w:b/>
        </w:rPr>
        <w:t>используя в своих интересах</w:t>
      </w:r>
      <w:r>
        <w:t xml:space="preserve"> необходимость включения вопроса международного признания Геноцида в число приоритетов внешней политики Армении. Новое поколение армянской буржуазии также стремится обеспечить подобным путем большую стабильность правящего режима. В результате проблематика Геноцида была интегрирована в официальную пропаганду и политику, помогая обеспечить сохранение неолиберального курса в социально-экономической сфере.</w:t>
      </w:r>
    </w:p>
    <w:p>
      <w:r>
        <w:t xml:space="preserve">Таким образом, и через 100 лет тема Геноцида армян остается </w:t>
      </w:r>
      <w:r>
        <w:rPr>
          <w:b/>
        </w:rPr>
        <w:t>разменной монетой в руках буржуазных элит.</w:t>
      </w:r>
      <w:r>
        <w:t xml:space="preserve"> Полноценное и справедливое урегулирование этого вопроса практически </w:t>
      </w:r>
      <w:r>
        <w:rPr>
          <w:b/>
        </w:rPr>
        <w:t>нереализуемо в условиях капиталистической системы</w:t>
      </w:r>
      <w:r>
        <w:t xml:space="preserve">, которая сделала возможным совершение этого преступления. Урегулирование сложного переплетения межнациональных противоречий возможно только в рамках общности, основанной на принципиально ином, </w:t>
      </w:r>
      <w:r>
        <w:rPr>
          <w:b/>
        </w:rPr>
        <w:t>антикапиталистическом базисе.</w:t>
      </w:r>
    </w:p>
    <w:p>
      <w:r>
        <w:rPr>
          <w:b/>
        </w:rPr>
        <w:t xml:space="preserve">Автор: </w:t>
      </w:r>
      <w:r>
        <w:rPr>
          <w:i/>
        </w:rPr>
        <w:t>Давид Арутюнов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stage.politsturm.com/genocid-sto-let-spustya" TargetMode="External"/><Relationship Id="rId11" Type="http://schemas.openxmlformats.org/officeDocument/2006/relationships/hyperlink" Target="https://www.facebook.com/groups/903780589760013/" TargetMode="External"/><Relationship Id="rId12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